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2" w:rsidRDefault="005732CE">
      <w:pPr>
        <w:pStyle w:val="BodyText"/>
        <w:spacing w:before="72"/>
        <w:ind w:left="115" w:right="383"/>
      </w:pPr>
      <w:r>
        <w:t>Параметри на качество</w:t>
      </w:r>
      <w:r w:rsidR="00267F44">
        <w:t>то на предоставяните услуги от Инноватек България</w:t>
      </w:r>
      <w:r>
        <w:t xml:space="preserve"> ЕООД</w:t>
      </w:r>
      <w:r w:rsidR="00267F44">
        <w:t>, съгласно о</w:t>
      </w:r>
      <w:r>
        <w:t>бщите изисквания при осъществяване на обществ</w:t>
      </w:r>
      <w:r w:rsidR="001C4C1F">
        <w:t>ени електронни съобщения за 202</w:t>
      </w:r>
      <w:r w:rsidR="001C4C1F">
        <w:rPr>
          <w:lang w:val="en-US"/>
        </w:rPr>
        <w:t>3</w:t>
      </w:r>
      <w:bookmarkStart w:id="0" w:name="_GoBack"/>
      <w:bookmarkEnd w:id="0"/>
      <w:r>
        <w:t>г.</w:t>
      </w:r>
    </w:p>
    <w:p w:rsidR="004F3192" w:rsidRDefault="004F3192">
      <w:pPr>
        <w:rPr>
          <w:b/>
          <w:sz w:val="20"/>
        </w:rPr>
      </w:pPr>
    </w:p>
    <w:p w:rsidR="004F3192" w:rsidRDefault="004F3192">
      <w:pPr>
        <w:spacing w:before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934"/>
        <w:gridCol w:w="2550"/>
        <w:gridCol w:w="960"/>
        <w:gridCol w:w="1246"/>
        <w:gridCol w:w="2100"/>
      </w:tblGrid>
      <w:tr w:rsidR="004F3192">
        <w:trPr>
          <w:trHeight w:val="796"/>
        </w:trPr>
        <w:tc>
          <w:tcPr>
            <w:tcW w:w="1186" w:type="dxa"/>
          </w:tcPr>
          <w:p w:rsidR="004F3192" w:rsidRDefault="005732CE">
            <w:pPr>
              <w:pStyle w:val="TableParagraph"/>
              <w:ind w:left="72" w:right="64" w:firstLine="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 услуги, </w:t>
            </w:r>
            <w:r>
              <w:rPr>
                <w:b/>
                <w:spacing w:val="-1"/>
                <w:sz w:val="20"/>
              </w:rPr>
              <w:t xml:space="preserve">предостав </w:t>
            </w:r>
            <w:r>
              <w:rPr>
                <w:b/>
                <w:sz w:val="20"/>
              </w:rPr>
              <w:t>яни чрез:</w:t>
            </w:r>
          </w:p>
        </w:tc>
        <w:tc>
          <w:tcPr>
            <w:tcW w:w="1934" w:type="dxa"/>
          </w:tcPr>
          <w:p w:rsidR="004F3192" w:rsidRDefault="005732CE">
            <w:pPr>
              <w:pStyle w:val="TableParagraph"/>
              <w:ind w:left="133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Параметър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7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Измерване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60" w:right="35" w:firstLine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Мерна единица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57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Измерване</w:t>
            </w:r>
          </w:p>
        </w:tc>
        <w:tc>
          <w:tcPr>
            <w:tcW w:w="2100" w:type="dxa"/>
          </w:tcPr>
          <w:p w:rsidR="004F3192" w:rsidRDefault="005732CE">
            <w:pPr>
              <w:pStyle w:val="TableParagraph"/>
              <w:ind w:left="582" w:hanging="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Стандартизационен документ</w:t>
            </w:r>
          </w:p>
        </w:tc>
      </w:tr>
      <w:tr w:rsidR="004F3192">
        <w:trPr>
          <w:trHeight w:val="797"/>
        </w:trPr>
        <w:tc>
          <w:tcPr>
            <w:tcW w:w="1186" w:type="dxa"/>
            <w:vMerge w:val="restart"/>
            <w:tcBorders>
              <w:bottom w:val="nil"/>
            </w:tcBorders>
          </w:tcPr>
          <w:p w:rsidR="004F3192" w:rsidRDefault="005732CE">
            <w:pPr>
              <w:pStyle w:val="TableParagraph"/>
              <w:ind w:left="292" w:right="65" w:hanging="204"/>
              <w:jc w:val="left"/>
              <w:rPr>
                <w:sz w:val="20"/>
              </w:rPr>
            </w:pPr>
            <w:r>
              <w:rPr>
                <w:sz w:val="20"/>
              </w:rPr>
              <w:t>Фиксирана мрежа</w:t>
            </w:r>
          </w:p>
        </w:tc>
        <w:tc>
          <w:tcPr>
            <w:tcW w:w="1934" w:type="dxa"/>
            <w:vMerge w:val="restart"/>
          </w:tcPr>
          <w:p w:rsidR="004F3192" w:rsidRDefault="005732CE">
            <w:pPr>
              <w:pStyle w:val="TableParagraph"/>
              <w:ind w:left="284" w:right="276" w:hanging="2"/>
              <w:rPr>
                <w:sz w:val="20"/>
              </w:rPr>
            </w:pPr>
            <w:r>
              <w:rPr>
                <w:sz w:val="20"/>
              </w:rPr>
              <w:t xml:space="preserve">Време за </w:t>
            </w:r>
            <w:r>
              <w:rPr>
                <w:spacing w:val="-1"/>
                <w:sz w:val="20"/>
              </w:rPr>
              <w:t xml:space="preserve">първоначално </w:t>
            </w:r>
            <w:r>
              <w:rPr>
                <w:sz w:val="20"/>
              </w:rPr>
              <w:t xml:space="preserve">свързване </w:t>
            </w:r>
            <w:r>
              <w:rPr>
                <w:spacing w:val="-5"/>
                <w:sz w:val="20"/>
              </w:rPr>
              <w:t xml:space="preserve">към </w:t>
            </w:r>
            <w:r>
              <w:rPr>
                <w:sz w:val="20"/>
              </w:rPr>
              <w:t>мрежата</w:t>
            </w:r>
          </w:p>
          <w:p w:rsidR="004F3192" w:rsidRDefault="004F3192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:rsidR="004F3192" w:rsidRDefault="005732CE">
            <w:pPr>
              <w:pStyle w:val="TableParagraph"/>
              <w:spacing w:before="0"/>
              <w:ind w:left="166" w:right="161" w:firstLine="4"/>
              <w:rPr>
                <w:sz w:val="20"/>
              </w:rPr>
            </w:pPr>
            <w:r>
              <w:rPr>
                <w:sz w:val="20"/>
              </w:rPr>
              <w:t>(Supply time for initial connection)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146" w:right="140" w:firstLine="1"/>
              <w:rPr>
                <w:sz w:val="20"/>
              </w:rPr>
            </w:pPr>
            <w:r>
              <w:rPr>
                <w:sz w:val="20"/>
              </w:rPr>
              <w:t xml:space="preserve">Времето, за което са изпълнени най-бързите 95 % и 99 % </w:t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заявките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137" w:right="130"/>
              <w:rPr>
                <w:sz w:val="20"/>
              </w:rPr>
            </w:pPr>
            <w:r>
              <w:rPr>
                <w:sz w:val="20"/>
              </w:rPr>
              <w:t>дни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57" w:right="53"/>
              <w:rPr>
                <w:sz w:val="20"/>
              </w:rPr>
            </w:pPr>
            <w:r>
              <w:rPr>
                <w:sz w:val="20"/>
              </w:rPr>
              <w:t>1, 2</w:t>
            </w:r>
          </w:p>
        </w:tc>
        <w:tc>
          <w:tcPr>
            <w:tcW w:w="2100" w:type="dxa"/>
            <w:vMerge w:val="restart"/>
          </w:tcPr>
          <w:p w:rsidR="004F3192" w:rsidRDefault="005732CE">
            <w:pPr>
              <w:pStyle w:val="TableParagraph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ETSI EG 202 057-1</w:t>
            </w:r>
          </w:p>
        </w:tc>
      </w:tr>
      <w:tr w:rsidR="004F3192">
        <w:trPr>
          <w:trHeight w:val="1717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120" w:right="115" w:firstLine="2"/>
              <w:rPr>
                <w:sz w:val="20"/>
              </w:rPr>
            </w:pPr>
            <w:r>
              <w:rPr>
                <w:sz w:val="20"/>
              </w:rPr>
              <w:t xml:space="preserve">Процент на заявки, изпълнени до </w:t>
            </w:r>
            <w:r>
              <w:rPr>
                <w:spacing w:val="-3"/>
                <w:sz w:val="20"/>
              </w:rPr>
              <w:t xml:space="preserve">датата, </w:t>
            </w:r>
            <w:r>
              <w:rPr>
                <w:sz w:val="20"/>
              </w:rPr>
              <w:t xml:space="preserve">договорена с клиента, а </w:t>
            </w:r>
            <w:r>
              <w:rPr>
                <w:spacing w:val="-3"/>
                <w:sz w:val="20"/>
              </w:rPr>
              <w:t xml:space="preserve">когато </w:t>
            </w:r>
            <w:r>
              <w:rPr>
                <w:sz w:val="20"/>
              </w:rPr>
              <w:t>е под 80 % - среден брой на дните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на закъснение след договорената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дата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137" w:right="132"/>
              <w:rPr>
                <w:sz w:val="20"/>
              </w:rPr>
            </w:pPr>
            <w:r>
              <w:rPr>
                <w:sz w:val="20"/>
              </w:rPr>
              <w:t>% дни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57" w:right="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</w:tr>
      <w:tr w:rsidR="004F3192">
        <w:trPr>
          <w:trHeight w:val="1487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4F3192" w:rsidRDefault="005732CE">
            <w:pPr>
              <w:pStyle w:val="TableParagraph"/>
              <w:ind w:left="136" w:right="129"/>
              <w:rPr>
                <w:sz w:val="20"/>
              </w:rPr>
            </w:pPr>
            <w:r>
              <w:rPr>
                <w:sz w:val="20"/>
              </w:rPr>
              <w:t>Процент повреди на линията за достъп</w:t>
            </w:r>
          </w:p>
          <w:p w:rsidR="004F3192" w:rsidRDefault="004F3192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4F3192" w:rsidRDefault="005732CE">
            <w:pPr>
              <w:pStyle w:val="TableParagraph"/>
              <w:spacing w:before="0"/>
              <w:ind w:left="136" w:right="127"/>
              <w:rPr>
                <w:sz w:val="20"/>
              </w:rPr>
            </w:pPr>
            <w:r>
              <w:rPr>
                <w:sz w:val="20"/>
              </w:rPr>
              <w:t>(Fault rate per access line)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262" w:right="255" w:hanging="2"/>
              <w:rPr>
                <w:sz w:val="20"/>
              </w:rPr>
            </w:pPr>
            <w:r>
              <w:rPr>
                <w:sz w:val="20"/>
              </w:rPr>
              <w:t>Съотношение между броя на повредите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на абонатната линия и средния брой на абонатните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57" w:right="51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2100" w:type="dxa"/>
          </w:tcPr>
          <w:p w:rsidR="004F3192" w:rsidRDefault="005732CE">
            <w:pPr>
              <w:pStyle w:val="TableParagraph"/>
              <w:ind w:left="156" w:right="153"/>
              <w:rPr>
                <w:sz w:val="20"/>
              </w:rPr>
            </w:pPr>
            <w:r>
              <w:rPr>
                <w:sz w:val="20"/>
              </w:rPr>
              <w:t>ETSI EG 202 057-1</w:t>
            </w:r>
          </w:p>
        </w:tc>
      </w:tr>
      <w:tr w:rsidR="004F3192">
        <w:trPr>
          <w:trHeight w:val="1256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Време за отстраняване на повреди</w:t>
            </w:r>
          </w:p>
          <w:p w:rsidR="004F3192" w:rsidRDefault="005732CE">
            <w:pPr>
              <w:pStyle w:val="TableParagraph"/>
              <w:spacing w:before="120"/>
              <w:ind w:left="133" w:right="129"/>
              <w:rPr>
                <w:sz w:val="20"/>
              </w:rPr>
            </w:pPr>
            <w:r>
              <w:rPr>
                <w:sz w:val="20"/>
              </w:rPr>
              <w:t>(Fault repair time)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62" w:right="58" w:firstLine="3"/>
              <w:rPr>
                <w:sz w:val="20"/>
              </w:rPr>
            </w:pPr>
            <w:r>
              <w:rPr>
                <w:sz w:val="20"/>
              </w:rPr>
              <w:t xml:space="preserve">Времето, за което са отстранени най-бързите 80 % и 95 %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pacing w:val="-4"/>
                <w:sz w:val="20"/>
              </w:rPr>
              <w:t xml:space="preserve">валидните </w:t>
            </w:r>
            <w:r>
              <w:rPr>
                <w:sz w:val="20"/>
              </w:rPr>
              <w:t>повреди по абонатните линии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137" w:right="133"/>
              <w:rPr>
                <w:sz w:val="20"/>
              </w:rPr>
            </w:pPr>
            <w:r>
              <w:rPr>
                <w:sz w:val="20"/>
              </w:rPr>
              <w:t>часове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0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156" w:right="153"/>
              <w:rPr>
                <w:sz w:val="20"/>
              </w:rPr>
            </w:pPr>
            <w:r>
              <w:rPr>
                <w:sz w:val="20"/>
              </w:rPr>
              <w:t>ETSI EG 202 057-1</w:t>
            </w:r>
          </w:p>
        </w:tc>
      </w:tr>
      <w:tr w:rsidR="004F3192">
        <w:trPr>
          <w:trHeight w:val="1377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99" w:right="92"/>
              <w:rPr>
                <w:sz w:val="20"/>
              </w:rPr>
            </w:pPr>
            <w:r>
              <w:rPr>
                <w:sz w:val="20"/>
              </w:rPr>
              <w:t>Процент на повредите, отстранени в рамките на максималния срок, определен в договора с клиента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57" w:right="52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100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F3192">
        <w:trPr>
          <w:trHeight w:val="1335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Процент на жалбите относно коректност на сметките</w:t>
            </w:r>
          </w:p>
          <w:p w:rsidR="004F3192" w:rsidRDefault="005732CE">
            <w:pPr>
              <w:pStyle w:val="TableParagraph"/>
              <w:spacing w:before="120" w:line="223" w:lineRule="exact"/>
              <w:ind w:left="133" w:right="129"/>
              <w:rPr>
                <w:sz w:val="20"/>
              </w:rPr>
            </w:pPr>
            <w:r>
              <w:rPr>
                <w:sz w:val="20"/>
              </w:rPr>
              <w:t>(Bill correctness</w:t>
            </w:r>
          </w:p>
        </w:tc>
        <w:tc>
          <w:tcPr>
            <w:tcW w:w="2550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66" w:right="59" w:firstLine="1"/>
              <w:rPr>
                <w:sz w:val="20"/>
              </w:rPr>
            </w:pPr>
            <w:r>
              <w:rPr>
                <w:sz w:val="20"/>
              </w:rPr>
              <w:t>Съотношение на сметките, за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коректността на които са подадени жалби, спрямо общия брой издадени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сметки</w:t>
            </w:r>
          </w:p>
        </w:tc>
        <w:tc>
          <w:tcPr>
            <w:tcW w:w="960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  <w:tcBorders>
              <w:bottom w:val="nil"/>
            </w:tcBorders>
          </w:tcPr>
          <w:p w:rsidR="004F3192" w:rsidRDefault="00267F44">
            <w:pPr>
              <w:pStyle w:val="TableParagraph"/>
              <w:ind w:left="57" w:right="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0" w:type="dxa"/>
            <w:tcBorders>
              <w:bottom w:val="nil"/>
            </w:tcBorders>
          </w:tcPr>
          <w:p w:rsidR="004F3192" w:rsidRDefault="005732CE">
            <w:pPr>
              <w:pStyle w:val="TableParagraph"/>
              <w:ind w:left="156" w:right="153"/>
              <w:rPr>
                <w:sz w:val="20"/>
              </w:rPr>
            </w:pPr>
            <w:r>
              <w:rPr>
                <w:sz w:val="20"/>
              </w:rPr>
              <w:t>ETSI EG 202 057-1</w:t>
            </w:r>
          </w:p>
        </w:tc>
      </w:tr>
      <w:tr w:rsidR="004F3192">
        <w:trPr>
          <w:trHeight w:val="411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4F3192" w:rsidRDefault="005732CE">
            <w:pPr>
              <w:pStyle w:val="TableParagraph"/>
              <w:spacing w:before="6"/>
              <w:ind w:left="134" w:right="129"/>
              <w:rPr>
                <w:sz w:val="20"/>
              </w:rPr>
            </w:pPr>
            <w:r>
              <w:rPr>
                <w:sz w:val="20"/>
              </w:rPr>
              <w:t>complaints)</w:t>
            </w:r>
          </w:p>
        </w:tc>
        <w:tc>
          <w:tcPr>
            <w:tcW w:w="2550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F3192">
        <w:trPr>
          <w:trHeight w:val="1377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4F3192" w:rsidRDefault="005732CE">
            <w:pPr>
              <w:pStyle w:val="TableParagraph"/>
              <w:ind w:left="136" w:right="127"/>
              <w:rPr>
                <w:sz w:val="20"/>
              </w:rPr>
            </w:pPr>
            <w:r>
              <w:rPr>
                <w:sz w:val="20"/>
              </w:rPr>
              <w:t>Двупосочно закъснение</w:t>
            </w:r>
          </w:p>
          <w:p w:rsidR="004F3192" w:rsidRDefault="005732CE">
            <w:pPr>
              <w:pStyle w:val="TableParagraph"/>
              <w:spacing w:before="120"/>
              <w:ind w:left="133" w:right="129"/>
              <w:rPr>
                <w:sz w:val="20"/>
              </w:rPr>
            </w:pPr>
            <w:r>
              <w:rPr>
                <w:sz w:val="20"/>
              </w:rPr>
              <w:t>(Delay)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86" w:right="78" w:firstLine="1"/>
              <w:rPr>
                <w:sz w:val="20"/>
              </w:rPr>
            </w:pPr>
            <w:r>
              <w:rPr>
                <w:sz w:val="20"/>
              </w:rPr>
              <w:t xml:space="preserve">Времето между първия </w:t>
            </w:r>
            <w:r>
              <w:rPr>
                <w:spacing w:val="-7"/>
                <w:sz w:val="20"/>
              </w:rPr>
              <w:t xml:space="preserve">бит, </w:t>
            </w:r>
            <w:r>
              <w:rPr>
                <w:sz w:val="20"/>
              </w:rPr>
              <w:t xml:space="preserve">подаден в мрежата </w:t>
            </w:r>
            <w:r>
              <w:rPr>
                <w:spacing w:val="-3"/>
                <w:sz w:val="20"/>
              </w:rPr>
              <w:t xml:space="preserve">от ползвателя, </w:t>
            </w:r>
            <w:r>
              <w:rPr>
                <w:sz w:val="20"/>
              </w:rPr>
              <w:t xml:space="preserve">и първия </w:t>
            </w:r>
            <w:r>
              <w:rPr>
                <w:spacing w:val="-7"/>
                <w:sz w:val="20"/>
              </w:rPr>
              <w:t xml:space="preserve">бит, </w:t>
            </w:r>
            <w:r>
              <w:rPr>
                <w:sz w:val="20"/>
              </w:rPr>
              <w:t xml:space="preserve">пристигнал при </w:t>
            </w:r>
            <w:r>
              <w:rPr>
                <w:spacing w:val="-3"/>
                <w:sz w:val="20"/>
              </w:rPr>
              <w:t xml:space="preserve">ползвателя </w:t>
            </w:r>
            <w:r>
              <w:rPr>
                <w:sz w:val="20"/>
              </w:rPr>
              <w:t>през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мрежата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246" w:type="dxa"/>
          </w:tcPr>
          <w:p w:rsidR="004F3192" w:rsidRDefault="00267F44">
            <w:pPr>
              <w:pStyle w:val="TableParagraph"/>
              <w:ind w:left="57" w:right="51"/>
              <w:rPr>
                <w:sz w:val="20"/>
              </w:rPr>
            </w:pPr>
            <w:r>
              <w:rPr>
                <w:sz w:val="20"/>
              </w:rPr>
              <w:t>3 - 25</w:t>
            </w:r>
          </w:p>
        </w:tc>
        <w:tc>
          <w:tcPr>
            <w:tcW w:w="2100" w:type="dxa"/>
          </w:tcPr>
          <w:p w:rsidR="004F3192" w:rsidRDefault="005732CE">
            <w:pPr>
              <w:pStyle w:val="TableParagraph"/>
              <w:ind w:left="156" w:right="152"/>
              <w:rPr>
                <w:sz w:val="20"/>
              </w:rPr>
            </w:pPr>
            <w:r>
              <w:rPr>
                <w:sz w:val="20"/>
              </w:rPr>
              <w:t>ITU-T Y.2617</w:t>
            </w:r>
          </w:p>
        </w:tc>
      </w:tr>
      <w:tr w:rsidR="004F3192">
        <w:trPr>
          <w:trHeight w:val="1377"/>
        </w:trPr>
        <w:tc>
          <w:tcPr>
            <w:tcW w:w="1186" w:type="dxa"/>
            <w:tcBorders>
              <w:top w:val="nil"/>
              <w:bottom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4F3192" w:rsidRDefault="005732CE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Колебание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pacing w:val="-1"/>
                <w:sz w:val="20"/>
              </w:rPr>
              <w:t>закъснението</w:t>
            </w:r>
          </w:p>
          <w:p w:rsidR="004F3192" w:rsidRDefault="005732CE">
            <w:pPr>
              <w:pStyle w:val="TableParagraph"/>
              <w:spacing w:before="120" w:line="261" w:lineRule="auto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(Delay </w:t>
            </w:r>
            <w:r>
              <w:rPr>
                <w:spacing w:val="-1"/>
                <w:sz w:val="20"/>
              </w:rPr>
              <w:t>variation/Jitter)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86" w:right="79" w:hanging="1"/>
              <w:rPr>
                <w:sz w:val="20"/>
              </w:rPr>
            </w:pPr>
            <w:r>
              <w:rPr>
                <w:sz w:val="20"/>
              </w:rPr>
              <w:t>Колебание между максималното и минималното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закъснение за определен период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z w:val="20"/>
              </w:rPr>
              <w:t>време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137" w:right="129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246" w:type="dxa"/>
          </w:tcPr>
          <w:p w:rsidR="004F3192" w:rsidRDefault="00267F44">
            <w:pPr>
              <w:pStyle w:val="TableParagraph"/>
              <w:ind w:left="57" w:right="51"/>
              <w:rPr>
                <w:sz w:val="20"/>
              </w:rPr>
            </w:pPr>
            <w:r>
              <w:rPr>
                <w:sz w:val="20"/>
              </w:rPr>
              <w:t>5 - 30</w:t>
            </w:r>
          </w:p>
        </w:tc>
        <w:tc>
          <w:tcPr>
            <w:tcW w:w="2100" w:type="dxa"/>
          </w:tcPr>
          <w:p w:rsidR="004F3192" w:rsidRDefault="005732CE">
            <w:pPr>
              <w:pStyle w:val="TableParagraph"/>
              <w:ind w:left="156" w:right="152"/>
              <w:rPr>
                <w:sz w:val="20"/>
              </w:rPr>
            </w:pPr>
            <w:r>
              <w:rPr>
                <w:sz w:val="20"/>
              </w:rPr>
              <w:t>ITU-T Y.2617</w:t>
            </w:r>
          </w:p>
        </w:tc>
      </w:tr>
      <w:tr w:rsidR="004F3192">
        <w:trPr>
          <w:trHeight w:val="1607"/>
        </w:trPr>
        <w:tc>
          <w:tcPr>
            <w:tcW w:w="1186" w:type="dxa"/>
            <w:tcBorders>
              <w:top w:val="nil"/>
            </w:tcBorders>
          </w:tcPr>
          <w:p w:rsidR="004F3192" w:rsidRDefault="004F319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4F3192" w:rsidRDefault="005732CE">
            <w:pPr>
              <w:pStyle w:val="TableParagraph"/>
              <w:spacing w:line="364" w:lineRule="auto"/>
              <w:ind w:left="390" w:hanging="212"/>
              <w:jc w:val="left"/>
              <w:rPr>
                <w:sz w:val="20"/>
              </w:rPr>
            </w:pPr>
            <w:r>
              <w:rPr>
                <w:sz w:val="20"/>
              </w:rPr>
              <w:t>Загуба на пакети (Packet loss)</w:t>
            </w:r>
          </w:p>
        </w:tc>
        <w:tc>
          <w:tcPr>
            <w:tcW w:w="2550" w:type="dxa"/>
          </w:tcPr>
          <w:p w:rsidR="004F3192" w:rsidRDefault="005732CE">
            <w:pPr>
              <w:pStyle w:val="TableParagraph"/>
              <w:ind w:left="99" w:right="92"/>
              <w:rPr>
                <w:sz w:val="20"/>
              </w:rPr>
            </w:pPr>
            <w:r>
              <w:rPr>
                <w:sz w:val="20"/>
              </w:rPr>
              <w:t>Отношение на броя на загубените пакети и общия брой на пренесените пакети за определен период от време</w:t>
            </w:r>
          </w:p>
        </w:tc>
        <w:tc>
          <w:tcPr>
            <w:tcW w:w="960" w:type="dxa"/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</w:tcPr>
          <w:p w:rsidR="004F3192" w:rsidRDefault="005732CE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0" w:type="dxa"/>
          </w:tcPr>
          <w:p w:rsidR="004F3192" w:rsidRDefault="005732CE">
            <w:pPr>
              <w:pStyle w:val="TableParagraph"/>
              <w:ind w:left="156" w:right="152"/>
              <w:rPr>
                <w:sz w:val="20"/>
              </w:rPr>
            </w:pPr>
            <w:r>
              <w:rPr>
                <w:sz w:val="20"/>
              </w:rPr>
              <w:t>ITU-T Y.2617</w:t>
            </w:r>
          </w:p>
        </w:tc>
      </w:tr>
    </w:tbl>
    <w:p w:rsidR="005732CE" w:rsidRDefault="005732CE"/>
    <w:sectPr w:rsidR="005732CE">
      <w:type w:val="continuous"/>
      <w:pgSz w:w="11910" w:h="16840"/>
      <w:pgMar w:top="4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92"/>
    <w:rsid w:val="001C4C1F"/>
    <w:rsid w:val="00267F44"/>
    <w:rsid w:val="004F3192"/>
    <w:rsid w:val="005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r00t</dc:creator>
  <cp:lastModifiedBy>r00t</cp:lastModifiedBy>
  <cp:revision>2</cp:revision>
  <dcterms:created xsi:type="dcterms:W3CDTF">2023-04-12T14:57:00Z</dcterms:created>
  <dcterms:modified xsi:type="dcterms:W3CDTF">2023-04-12T14:57:00Z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2022-03-06T00:00:00Z</vt:filetime>
  </property>
</Properties>
</file>